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03E1E4">
      <w:pPr>
        <w:rPr>
          <w:rFonts w:hint="eastAsia" w:ascii="黑体" w:hAnsi="黑体" w:eastAsia="黑体" w:cs="黑体"/>
          <w:b/>
          <w:sz w:val="36"/>
          <w:szCs w:val="36"/>
          <w:lang w:val="en-US" w:eastAsia="zh-CN"/>
        </w:rPr>
      </w:pPr>
      <w:r>
        <w:rPr>
          <w:rFonts w:hint="eastAsia"/>
          <w:sz w:val="32"/>
          <w:szCs w:val="32"/>
        </w:rPr>
        <w:t>附件</w:t>
      </w:r>
      <w:r>
        <w:rPr>
          <w:rFonts w:hint="eastAsia"/>
          <w:sz w:val="32"/>
          <w:szCs w:val="32"/>
          <w:lang w:val="en-US" w:eastAsia="zh-CN"/>
        </w:rPr>
        <w:t>5</w:t>
      </w:r>
      <w:bookmarkStart w:id="10" w:name="_GoBack"/>
      <w:bookmarkEnd w:id="10"/>
      <w:r>
        <w:rPr>
          <w:rFonts w:hint="eastAsia"/>
          <w:sz w:val="32"/>
          <w:szCs w:val="32"/>
        </w:rPr>
        <w:t>：</w:t>
      </w:r>
    </w:p>
    <w:p w14:paraId="14356997">
      <w:pPr>
        <w:snapToGrid w:val="0"/>
        <w:spacing w:after="312" w:afterLines="100" w:line="288" w:lineRule="auto"/>
        <w:jc w:val="center"/>
        <w:rPr>
          <w:rFonts w:hint="eastAsia" w:ascii="黑体" w:hAnsi="黑体" w:eastAsia="黑体" w:cs="黑体"/>
          <w:b/>
          <w:sz w:val="36"/>
          <w:szCs w:val="36"/>
        </w:rPr>
      </w:pPr>
      <w:r>
        <w:rPr>
          <w:rFonts w:hint="eastAsia" w:ascii="黑体" w:hAnsi="黑体" w:eastAsia="黑体" w:cs="黑体"/>
          <w:b/>
          <w:sz w:val="36"/>
          <w:szCs w:val="36"/>
          <w:lang w:val="en-US" w:eastAsia="zh-CN"/>
        </w:rPr>
        <w:t>温州银行供应</w:t>
      </w:r>
      <w:r>
        <w:rPr>
          <w:rFonts w:hint="eastAsia" w:ascii="黑体" w:hAnsi="黑体" w:eastAsia="黑体" w:cs="黑体"/>
          <w:b/>
          <w:sz w:val="36"/>
          <w:szCs w:val="36"/>
        </w:rPr>
        <w:t>商</w:t>
      </w:r>
      <w:r>
        <w:rPr>
          <w:rFonts w:hint="eastAsia" w:ascii="黑体" w:hAnsi="黑体" w:eastAsia="黑体" w:cs="黑体"/>
          <w:b/>
          <w:sz w:val="36"/>
          <w:szCs w:val="36"/>
          <w:lang w:val="en-US" w:eastAsia="zh-CN"/>
        </w:rPr>
        <w:t>情况</w:t>
      </w:r>
      <w:r>
        <w:rPr>
          <w:rFonts w:hint="eastAsia" w:ascii="黑体" w:hAnsi="黑体" w:eastAsia="黑体" w:cs="黑体"/>
          <w:b/>
          <w:sz w:val="36"/>
          <w:szCs w:val="36"/>
        </w:rPr>
        <w:t>报告</w:t>
      </w:r>
    </w:p>
    <w:p w14:paraId="196FFC8A">
      <w:pPr>
        <w:pStyle w:val="3"/>
        <w:bidi w:val="0"/>
        <w:rPr>
          <w:rFonts w:hint="eastAsia"/>
        </w:rPr>
      </w:pPr>
      <w:r>
        <w:rPr>
          <w:rFonts w:hint="eastAsia"/>
        </w:rPr>
        <w:t>一、基本信息</w:t>
      </w:r>
    </w:p>
    <w:p w14:paraId="27886580">
      <w:pPr>
        <w:pStyle w:val="4"/>
        <w:bidi w:val="0"/>
        <w:rPr>
          <w:rFonts w:hint="eastAsia"/>
        </w:rPr>
      </w:pPr>
      <w:r>
        <w:rPr>
          <w:rFonts w:hint="eastAsia"/>
        </w:rPr>
        <w:t>1.1</w:t>
      </w:r>
      <w:r>
        <w:rPr>
          <w:rFonts w:hint="eastAsia"/>
          <w:lang w:val="en-US" w:eastAsia="zh-CN"/>
        </w:rPr>
        <w:t>供应商</w:t>
      </w:r>
      <w:r>
        <w:rPr>
          <w:rFonts w:hint="eastAsia"/>
        </w:rPr>
        <w:t>基本信息</w:t>
      </w:r>
    </w:p>
    <w:tbl>
      <w:tblPr>
        <w:tblStyle w:val="5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25"/>
        <w:gridCol w:w="2185"/>
        <w:gridCol w:w="1970"/>
        <w:gridCol w:w="2042"/>
      </w:tblGrid>
      <w:tr w14:paraId="78AEBB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jc w:val="center"/>
        </w:trPr>
        <w:tc>
          <w:tcPr>
            <w:tcW w:w="2325" w:type="dxa"/>
            <w:shd w:val="clear" w:color="auto" w:fill="D8D8D8"/>
            <w:noWrap w:val="0"/>
            <w:vAlign w:val="center"/>
          </w:tcPr>
          <w:p w14:paraId="54460773"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供应商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全称</w:t>
            </w:r>
          </w:p>
        </w:tc>
        <w:tc>
          <w:tcPr>
            <w:tcW w:w="6197" w:type="dxa"/>
            <w:gridSpan w:val="3"/>
            <w:noWrap w:val="0"/>
            <w:vAlign w:val="center"/>
          </w:tcPr>
          <w:p w14:paraId="41B72376"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384B272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jc w:val="center"/>
        </w:trPr>
        <w:tc>
          <w:tcPr>
            <w:tcW w:w="2325" w:type="dxa"/>
            <w:shd w:val="clear" w:color="auto" w:fill="D8D8D8"/>
            <w:noWrap w:val="0"/>
            <w:vAlign w:val="center"/>
          </w:tcPr>
          <w:p w14:paraId="51A2992D"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成立日期</w:t>
            </w:r>
          </w:p>
        </w:tc>
        <w:tc>
          <w:tcPr>
            <w:tcW w:w="2185" w:type="dxa"/>
            <w:shd w:val="clear" w:color="auto" w:fill="auto"/>
            <w:noWrap w:val="0"/>
            <w:vAlign w:val="center"/>
          </w:tcPr>
          <w:p w14:paraId="4DC2484F"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970" w:type="dxa"/>
            <w:shd w:val="clear" w:color="auto" w:fill="D8D8D8"/>
            <w:noWrap w:val="0"/>
            <w:vAlign w:val="top"/>
          </w:tcPr>
          <w:p w14:paraId="3F3C28FF"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法人代表</w:t>
            </w:r>
          </w:p>
        </w:tc>
        <w:tc>
          <w:tcPr>
            <w:tcW w:w="2042" w:type="dxa"/>
            <w:noWrap w:val="0"/>
            <w:vAlign w:val="top"/>
          </w:tcPr>
          <w:p w14:paraId="6EA16653"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5F5192F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jc w:val="center"/>
        </w:trPr>
        <w:tc>
          <w:tcPr>
            <w:tcW w:w="2325" w:type="dxa"/>
            <w:shd w:val="clear" w:color="auto" w:fill="D8D8D8"/>
            <w:noWrap w:val="0"/>
            <w:vAlign w:val="center"/>
          </w:tcPr>
          <w:p w14:paraId="41912871"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公司类型</w:t>
            </w:r>
          </w:p>
        </w:tc>
        <w:tc>
          <w:tcPr>
            <w:tcW w:w="2185" w:type="dxa"/>
            <w:shd w:val="clear" w:color="auto" w:fill="auto"/>
            <w:noWrap w:val="0"/>
            <w:vAlign w:val="top"/>
          </w:tcPr>
          <w:p w14:paraId="536FB8FB"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970" w:type="dxa"/>
            <w:shd w:val="clear" w:color="auto" w:fill="D8D8D8"/>
            <w:noWrap w:val="0"/>
            <w:vAlign w:val="top"/>
          </w:tcPr>
          <w:p w14:paraId="6D3045E4"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注册资本&amp;币种</w:t>
            </w:r>
          </w:p>
        </w:tc>
        <w:tc>
          <w:tcPr>
            <w:tcW w:w="2042" w:type="dxa"/>
            <w:noWrap w:val="0"/>
            <w:vAlign w:val="top"/>
          </w:tcPr>
          <w:p w14:paraId="29FC60F6"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56B8E63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jc w:val="center"/>
        </w:trPr>
        <w:tc>
          <w:tcPr>
            <w:tcW w:w="2325" w:type="dxa"/>
            <w:shd w:val="clear" w:color="auto" w:fill="D8D8D8"/>
            <w:noWrap w:val="0"/>
            <w:vAlign w:val="center"/>
          </w:tcPr>
          <w:p w14:paraId="57E8E9BB"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统一社会信用代码</w:t>
            </w:r>
          </w:p>
        </w:tc>
        <w:tc>
          <w:tcPr>
            <w:tcW w:w="6197" w:type="dxa"/>
            <w:gridSpan w:val="3"/>
            <w:noWrap w:val="0"/>
            <w:vAlign w:val="center"/>
          </w:tcPr>
          <w:p w14:paraId="10B5CE65"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3EA49E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jc w:val="center"/>
        </w:trPr>
        <w:tc>
          <w:tcPr>
            <w:tcW w:w="2325" w:type="dxa"/>
            <w:shd w:val="clear" w:color="auto" w:fill="D8D8D8"/>
            <w:noWrap w:val="0"/>
            <w:vAlign w:val="center"/>
          </w:tcPr>
          <w:p w14:paraId="0AB5873E"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公司地址</w:t>
            </w:r>
          </w:p>
        </w:tc>
        <w:tc>
          <w:tcPr>
            <w:tcW w:w="6197" w:type="dxa"/>
            <w:gridSpan w:val="3"/>
            <w:noWrap w:val="0"/>
            <w:vAlign w:val="center"/>
          </w:tcPr>
          <w:p w14:paraId="29E2A8BE"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5FB513F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jc w:val="center"/>
        </w:trPr>
        <w:tc>
          <w:tcPr>
            <w:tcW w:w="2325" w:type="dxa"/>
            <w:shd w:val="clear" w:color="auto" w:fill="D8D8D8"/>
            <w:noWrap w:val="0"/>
            <w:vAlign w:val="center"/>
          </w:tcPr>
          <w:p w14:paraId="09CEDC47"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联系人</w:t>
            </w:r>
          </w:p>
        </w:tc>
        <w:tc>
          <w:tcPr>
            <w:tcW w:w="2185" w:type="dxa"/>
            <w:shd w:val="clear" w:color="auto" w:fill="auto"/>
            <w:noWrap w:val="0"/>
            <w:vAlign w:val="center"/>
          </w:tcPr>
          <w:p w14:paraId="1AAE031C"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970" w:type="dxa"/>
            <w:shd w:val="clear" w:color="auto" w:fill="D8D8D8"/>
            <w:noWrap w:val="0"/>
            <w:vAlign w:val="top"/>
          </w:tcPr>
          <w:p w14:paraId="46B3338E"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联系人电话</w:t>
            </w:r>
          </w:p>
        </w:tc>
        <w:tc>
          <w:tcPr>
            <w:tcW w:w="2042" w:type="dxa"/>
            <w:noWrap w:val="0"/>
            <w:vAlign w:val="top"/>
          </w:tcPr>
          <w:p w14:paraId="1BFAB67E">
            <w:pPr>
              <w:snapToGrid w:val="0"/>
              <w:spacing w:line="288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03285A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  <w:jc w:val="center"/>
        </w:trPr>
        <w:tc>
          <w:tcPr>
            <w:tcW w:w="2325" w:type="dxa"/>
            <w:shd w:val="clear" w:color="auto" w:fill="D8D8D8"/>
            <w:noWrap w:val="0"/>
            <w:vAlign w:val="center"/>
          </w:tcPr>
          <w:p w14:paraId="3B49F3C3"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公司主营业务</w:t>
            </w:r>
          </w:p>
        </w:tc>
        <w:tc>
          <w:tcPr>
            <w:tcW w:w="6197" w:type="dxa"/>
            <w:gridSpan w:val="3"/>
            <w:noWrap w:val="0"/>
            <w:vAlign w:val="center"/>
          </w:tcPr>
          <w:p w14:paraId="5028D461"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</w:tbl>
    <w:p w14:paraId="110F3875">
      <w:pPr>
        <w:pStyle w:val="4"/>
        <w:bidi w:val="0"/>
        <w:rPr>
          <w:rFonts w:hint="eastAsia"/>
        </w:rPr>
      </w:pPr>
      <w:r>
        <w:rPr>
          <w:rFonts w:hint="eastAsia"/>
        </w:rPr>
        <w:t>1.2监管评价</w:t>
      </w:r>
    </w:p>
    <w:p w14:paraId="5631C4CE">
      <w:pPr>
        <w:snapToGrid w:val="0"/>
        <w:spacing w:line="288" w:lineRule="auto"/>
        <w:rPr>
          <w:rFonts w:hint="eastAsia" w:ascii="宋体" w:hAnsi="宋体" w:eastAsia="宋体" w:cs="宋体"/>
          <w:sz w:val="21"/>
          <w:szCs w:val="21"/>
        </w:rPr>
      </w:pPr>
      <w:bookmarkStart w:id="0" w:name="OLE_LINK11"/>
      <w:bookmarkStart w:id="1" w:name="OLE_LINK12"/>
      <w:r>
        <w:rPr>
          <w:rFonts w:hint="eastAsia" w:ascii="宋体" w:hAnsi="宋体" w:eastAsia="宋体" w:cs="宋体"/>
          <w:sz w:val="21"/>
          <w:szCs w:val="21"/>
        </w:rPr>
        <w:t>（是否出现在监管机构的黑名单中）</w:t>
      </w:r>
    </w:p>
    <w:bookmarkEnd w:id="0"/>
    <w:bookmarkEnd w:id="1"/>
    <w:p w14:paraId="6F486572">
      <w:pPr>
        <w:snapToGrid w:val="0"/>
        <w:spacing w:line="288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（最近二年在政府或金融同业合作过程中是否受到处罚）</w:t>
      </w:r>
    </w:p>
    <w:p w14:paraId="666EE7DC">
      <w:pPr>
        <w:snapToGrid w:val="0"/>
        <w:spacing w:line="288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（是否存在未决诉讼）</w:t>
      </w:r>
    </w:p>
    <w:p w14:paraId="2F8D7776">
      <w:pPr>
        <w:pStyle w:val="4"/>
        <w:bidi w:val="0"/>
        <w:rPr>
          <w:rFonts w:hint="eastAsia"/>
        </w:rPr>
      </w:pPr>
      <w:bookmarkStart w:id="2" w:name="OLE_LINK13"/>
      <w:bookmarkStart w:id="3" w:name="OLE_LINK14"/>
      <w:r>
        <w:rPr>
          <w:rFonts w:hint="eastAsia"/>
        </w:rPr>
        <w:t>1.3关联公司或附属机构信息</w:t>
      </w:r>
      <w:bookmarkEnd w:id="2"/>
      <w:bookmarkEnd w:id="3"/>
    </w:p>
    <w:p w14:paraId="10972D83"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bookmarkStart w:id="4" w:name="OLE_LINK25"/>
      <w:bookmarkStart w:id="5" w:name="OLE_LINK26"/>
      <w:bookmarkStart w:id="6" w:name="OLE_LINK23"/>
      <w:bookmarkStart w:id="7" w:name="OLE_LINK24"/>
      <w:r>
        <w:rPr>
          <w:rFonts w:hint="eastAsia" w:ascii="宋体" w:hAnsi="宋体" w:eastAsia="宋体" w:cs="宋体"/>
          <w:iCs/>
          <w:sz w:val="21"/>
          <w:szCs w:val="21"/>
        </w:rPr>
        <w:t>（关联公司或附属机构是否存在经营危机</w:t>
      </w:r>
      <w:bookmarkEnd w:id="4"/>
      <w:bookmarkEnd w:id="5"/>
      <w:r>
        <w:rPr>
          <w:rFonts w:hint="eastAsia" w:ascii="宋体" w:hAnsi="宋体" w:eastAsia="宋体" w:cs="宋体"/>
          <w:iCs/>
          <w:sz w:val="21"/>
          <w:szCs w:val="21"/>
        </w:rPr>
        <w:t>，该危机是否危及该</w:t>
      </w:r>
      <w:r>
        <w:rPr>
          <w:rFonts w:hint="eastAsia" w:ascii="宋体" w:hAnsi="宋体" w:cs="宋体"/>
          <w:iCs/>
          <w:sz w:val="21"/>
          <w:szCs w:val="21"/>
          <w:lang w:eastAsia="zh-CN"/>
        </w:rPr>
        <w:t>供应商</w:t>
      </w:r>
      <w:r>
        <w:rPr>
          <w:rFonts w:hint="eastAsia" w:ascii="宋体" w:hAnsi="宋体" w:eastAsia="宋体" w:cs="宋体"/>
          <w:iCs/>
          <w:sz w:val="21"/>
          <w:szCs w:val="21"/>
        </w:rPr>
        <w:t>的正常经营）</w:t>
      </w:r>
    </w:p>
    <w:bookmarkEnd w:id="6"/>
    <w:bookmarkEnd w:id="7"/>
    <w:p w14:paraId="0EB4FEBF">
      <w:pPr>
        <w:pStyle w:val="4"/>
        <w:bidi w:val="0"/>
        <w:rPr>
          <w:rFonts w:hint="eastAsia"/>
        </w:rPr>
      </w:pPr>
      <w:r>
        <w:rPr>
          <w:rFonts w:hint="eastAsia"/>
        </w:rPr>
        <w:t>1.4主要客户清单列表</w:t>
      </w:r>
    </w:p>
    <w:p w14:paraId="4D72FAA3">
      <w:pPr>
        <w:snapToGrid w:val="0"/>
        <w:spacing w:line="288" w:lineRule="auto"/>
        <w:rPr>
          <w:rFonts w:hint="eastAsia" w:ascii="宋体" w:hAnsi="宋体" w:eastAsia="宋体" w:cs="宋体"/>
          <w:i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（主要客户群体）</w:t>
      </w:r>
    </w:p>
    <w:p w14:paraId="68B42662">
      <w:pPr>
        <w:pStyle w:val="3"/>
        <w:bidi w:val="0"/>
        <w:rPr>
          <w:rFonts w:hint="eastAsia"/>
        </w:rPr>
      </w:pPr>
      <w:r>
        <w:rPr>
          <w:rFonts w:hint="eastAsia"/>
        </w:rPr>
        <w:t>二、</w:t>
      </w:r>
      <w:r>
        <w:rPr>
          <w:rFonts w:hint="eastAsia"/>
          <w:lang w:val="en-US" w:eastAsia="zh-CN"/>
        </w:rPr>
        <w:t>供应商</w:t>
      </w:r>
      <w:r>
        <w:rPr>
          <w:rFonts w:hint="eastAsia"/>
        </w:rPr>
        <w:t>持续经营能力</w:t>
      </w:r>
    </w:p>
    <w:p w14:paraId="2AFDD34D">
      <w:pPr>
        <w:pStyle w:val="4"/>
        <w:bidi w:val="0"/>
        <w:rPr>
          <w:rFonts w:hint="eastAsia"/>
        </w:rPr>
      </w:pPr>
      <w:r>
        <w:rPr>
          <w:rFonts w:hint="eastAsia"/>
        </w:rPr>
        <w:t>2.1财务情况</w:t>
      </w:r>
    </w:p>
    <w:p w14:paraId="1E4FAD11">
      <w:pPr>
        <w:snapToGrid w:val="0"/>
        <w:spacing w:line="288" w:lineRule="auto"/>
        <w:rPr>
          <w:rFonts w:hint="eastAsia" w:ascii="宋体" w:hAnsi="宋体" w:eastAsia="宋体" w:cs="宋体"/>
          <w:i/>
          <w:sz w:val="21"/>
          <w:szCs w:val="21"/>
        </w:rPr>
      </w:pPr>
      <w:r>
        <w:rPr>
          <w:rFonts w:hint="eastAsia" w:ascii="宋体" w:hAnsi="宋体" w:eastAsia="宋体" w:cs="宋体"/>
          <w:i/>
          <w:sz w:val="21"/>
          <w:szCs w:val="21"/>
        </w:rPr>
        <w:t xml:space="preserve"> </w:t>
      </w:r>
      <w:r>
        <w:rPr>
          <w:rFonts w:hint="eastAsia" w:ascii="宋体" w:hAnsi="宋体" w:eastAsia="宋体" w:cs="宋体"/>
          <w:iCs/>
          <w:sz w:val="21"/>
          <w:szCs w:val="21"/>
        </w:rPr>
        <w:t>（近三年的财务报表，如有经审计的报表，优先提供）</w:t>
      </w:r>
    </w:p>
    <w:p w14:paraId="1F68E55E">
      <w:pPr>
        <w:snapToGrid w:val="0"/>
        <w:spacing w:line="288" w:lineRule="auto"/>
        <w:rPr>
          <w:rFonts w:hint="eastAsia" w:ascii="宋体" w:hAnsi="宋体" w:eastAsia="宋体" w:cs="宋体"/>
          <w:i/>
          <w:sz w:val="21"/>
          <w:szCs w:val="21"/>
        </w:rPr>
      </w:pPr>
    </w:p>
    <w:p w14:paraId="657038A7">
      <w:pPr>
        <w:pStyle w:val="3"/>
        <w:bidi w:val="0"/>
        <w:rPr>
          <w:rFonts w:hint="eastAsia"/>
        </w:rPr>
      </w:pPr>
      <w:bookmarkStart w:id="8" w:name="OLE_LINK19"/>
      <w:bookmarkStart w:id="9" w:name="OLE_LINK20"/>
      <w:r>
        <w:rPr>
          <w:rFonts w:hint="eastAsia"/>
        </w:rPr>
        <w:t>三、</w:t>
      </w:r>
      <w:r>
        <w:rPr>
          <w:rFonts w:hint="eastAsia"/>
          <w:lang w:eastAsia="zh-CN"/>
        </w:rPr>
        <w:t>供应商</w:t>
      </w:r>
      <w:r>
        <w:rPr>
          <w:rFonts w:hint="eastAsia"/>
        </w:rPr>
        <w:t>内部控制和管理能力</w:t>
      </w:r>
    </w:p>
    <w:p w14:paraId="1E78AD31">
      <w:pPr>
        <w:pStyle w:val="4"/>
        <w:bidi w:val="0"/>
        <w:rPr>
          <w:rFonts w:hint="eastAsia"/>
        </w:rPr>
      </w:pPr>
      <w:r>
        <w:rPr>
          <w:rFonts w:hint="eastAsia"/>
        </w:rPr>
        <w:t>3.1</w:t>
      </w:r>
      <w:r>
        <w:rPr>
          <w:rFonts w:hint="eastAsia"/>
          <w:lang w:eastAsia="zh-CN"/>
        </w:rPr>
        <w:t>供应商</w:t>
      </w:r>
      <w:r>
        <w:rPr>
          <w:rFonts w:hint="eastAsia"/>
        </w:rPr>
        <w:t>内控评估报告</w:t>
      </w:r>
    </w:p>
    <w:p w14:paraId="63043DBE"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/>
          <w:sz w:val="21"/>
          <w:szCs w:val="21"/>
        </w:rPr>
        <w:t xml:space="preserve"> </w:t>
      </w:r>
      <w:r>
        <w:rPr>
          <w:rFonts w:hint="eastAsia" w:ascii="宋体" w:hAnsi="宋体" w:eastAsia="宋体" w:cs="宋体"/>
          <w:iCs/>
          <w:sz w:val="21"/>
          <w:szCs w:val="21"/>
        </w:rPr>
        <w:t>（评估报告内容如覆盖以下3.2-3.6内容，则将评估报告内容对应填写至各个部分）</w:t>
      </w:r>
    </w:p>
    <w:p w14:paraId="1497F8D3">
      <w:pPr>
        <w:pStyle w:val="4"/>
        <w:bidi w:val="0"/>
        <w:rPr>
          <w:rFonts w:hint="eastAsia"/>
        </w:rPr>
      </w:pPr>
      <w:r>
        <w:rPr>
          <w:rFonts w:hint="eastAsia"/>
        </w:rPr>
        <w:t>3.2</w:t>
      </w:r>
      <w:r>
        <w:rPr>
          <w:rFonts w:hint="eastAsia"/>
          <w:lang w:eastAsia="zh-CN"/>
        </w:rPr>
        <w:t>供应商</w:t>
      </w:r>
      <w:r>
        <w:rPr>
          <w:rFonts w:hint="eastAsia"/>
        </w:rPr>
        <w:t>的组织结构</w:t>
      </w:r>
    </w:p>
    <w:p w14:paraId="598360BD">
      <w:pPr>
        <w:snapToGrid w:val="0"/>
        <w:spacing w:line="288" w:lineRule="auto"/>
        <w:rPr>
          <w:rFonts w:hint="eastAsia" w:ascii="宋体" w:hAnsi="宋体" w:eastAsia="宋体" w:cs="宋体"/>
          <w:i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(内部控制部门，如是否建立了内部的使用工具的安全测试部门、内控部门、审计部门)</w:t>
      </w:r>
    </w:p>
    <w:p w14:paraId="7BD5B3EB">
      <w:pPr>
        <w:pStyle w:val="4"/>
        <w:bidi w:val="0"/>
        <w:rPr>
          <w:rFonts w:hint="eastAsia"/>
        </w:rPr>
      </w:pPr>
      <w:r>
        <w:rPr>
          <w:rFonts w:hint="eastAsia"/>
        </w:rPr>
        <w:t>3.3 IT制度体系建设</w:t>
      </w:r>
    </w:p>
    <w:p w14:paraId="4202F2A8"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（是否对其公司及项目的安全管理及流程管理建立了相应的制度）</w:t>
      </w:r>
    </w:p>
    <w:p w14:paraId="0C518323"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（项目过程中的项目管理（PMO）体系，包括例会、沟通渠道等）</w:t>
      </w:r>
    </w:p>
    <w:p w14:paraId="7B01D1C0"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（服务质量控制方法）</w:t>
      </w:r>
    </w:p>
    <w:p w14:paraId="2DDFEBA2">
      <w:pPr>
        <w:pStyle w:val="4"/>
        <w:bidi w:val="0"/>
        <w:rPr>
          <w:rFonts w:hint="eastAsia"/>
        </w:rPr>
      </w:pPr>
      <w:r>
        <w:rPr>
          <w:rFonts w:hint="eastAsia"/>
        </w:rPr>
        <w:t>3.4培训体系建设</w:t>
      </w:r>
    </w:p>
    <w:p w14:paraId="509C4B9F"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（是否对其员工定期开展技术技能以及安全防范相关的培训，提供培训计划或培训材料）</w:t>
      </w:r>
    </w:p>
    <w:p w14:paraId="155E8D4C">
      <w:pPr>
        <w:pStyle w:val="4"/>
        <w:bidi w:val="0"/>
        <w:rPr>
          <w:rFonts w:hint="eastAsia"/>
        </w:rPr>
      </w:pPr>
      <w:r>
        <w:rPr>
          <w:rFonts w:hint="eastAsia"/>
        </w:rPr>
        <w:t>3.5</w:t>
      </w:r>
      <w:r>
        <w:rPr>
          <w:rFonts w:hint="eastAsia"/>
          <w:lang w:eastAsia="zh-CN"/>
        </w:rPr>
        <w:t>供应商</w:t>
      </w:r>
      <w:r>
        <w:rPr>
          <w:rFonts w:hint="eastAsia"/>
        </w:rPr>
        <w:t>人员离职率</w:t>
      </w:r>
    </w:p>
    <w:p w14:paraId="07077FEC"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（了解公司技术人员的离职率）</w:t>
      </w:r>
    </w:p>
    <w:p w14:paraId="185CEBCC">
      <w:pPr>
        <w:pStyle w:val="4"/>
        <w:bidi w:val="0"/>
        <w:rPr>
          <w:rFonts w:hint="eastAsia"/>
        </w:rPr>
      </w:pPr>
      <w:r>
        <w:rPr>
          <w:rFonts w:hint="eastAsia"/>
        </w:rPr>
        <w:t>3.6IT风险管控</w:t>
      </w:r>
    </w:p>
    <w:p w14:paraId="3DD71980"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（包括对公司本身的IT风险管控及所承接外包项目的IT风险管控情况）</w:t>
      </w:r>
    </w:p>
    <w:bookmarkEnd w:id="8"/>
    <w:bookmarkEnd w:id="9"/>
    <w:p w14:paraId="361BD1DD">
      <w:pPr>
        <w:pStyle w:val="3"/>
        <w:bidi w:val="0"/>
        <w:rPr>
          <w:rFonts w:hint="eastAsia"/>
        </w:rPr>
      </w:pPr>
      <w:r>
        <w:rPr>
          <w:rFonts w:hint="eastAsia"/>
        </w:rPr>
        <w:t>四、</w:t>
      </w:r>
      <w:r>
        <w:rPr>
          <w:rFonts w:hint="eastAsia"/>
          <w:lang w:eastAsia="zh-CN"/>
        </w:rPr>
        <w:t>供应商</w:t>
      </w:r>
      <w:r>
        <w:rPr>
          <w:rFonts w:hint="eastAsia"/>
        </w:rPr>
        <w:t>信息技术能力</w:t>
      </w:r>
    </w:p>
    <w:p w14:paraId="4EDAD63A">
      <w:pPr>
        <w:pStyle w:val="4"/>
        <w:bidi w:val="0"/>
        <w:rPr>
          <w:rFonts w:hint="eastAsia" w:eastAsia="宋体"/>
          <w:lang w:val="en-US" w:eastAsia="zh-CN"/>
        </w:rPr>
      </w:pPr>
      <w:r>
        <w:rPr>
          <w:rFonts w:hint="eastAsia"/>
        </w:rPr>
        <w:t>4.1服务能力和技术</w:t>
      </w:r>
      <w:r>
        <w:rPr>
          <w:rFonts w:hint="eastAsia"/>
          <w:lang w:val="en-US" w:eastAsia="zh-CN"/>
        </w:rPr>
        <w:t>能力</w:t>
      </w:r>
    </w:p>
    <w:p w14:paraId="03A39082"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</w:t>
      </w:r>
      <w:r>
        <w:rPr>
          <w:rFonts w:hint="eastAsia" w:ascii="宋体" w:hAnsi="宋体" w:cs="宋体"/>
          <w:iCs/>
          <w:sz w:val="21"/>
          <w:szCs w:val="21"/>
          <w:lang w:eastAsia="zh-CN"/>
        </w:rPr>
        <w:t>供应商</w:t>
      </w:r>
      <w:r>
        <w:rPr>
          <w:rFonts w:hint="eastAsia" w:ascii="宋体" w:hAnsi="宋体" w:eastAsia="宋体" w:cs="宋体"/>
          <w:iCs/>
          <w:sz w:val="21"/>
          <w:szCs w:val="21"/>
        </w:rPr>
        <w:t>的技术能力资质证明，专业认证等）</w:t>
      </w:r>
    </w:p>
    <w:p w14:paraId="22E2B801"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（描述使用的工作方法、应用软件、技术文档、评估模型、评估工具等使用情况、知识产权等）</w:t>
      </w:r>
    </w:p>
    <w:p w14:paraId="4FC4CC40">
      <w:pPr>
        <w:pStyle w:val="4"/>
        <w:bidi w:val="0"/>
        <w:rPr>
          <w:rFonts w:hint="eastAsia"/>
        </w:rPr>
      </w:pPr>
      <w:r>
        <w:rPr>
          <w:rFonts w:hint="eastAsia"/>
        </w:rPr>
        <w:t>4.2</w:t>
      </w:r>
      <w:r>
        <w:rPr>
          <w:rFonts w:hint="eastAsia"/>
          <w:lang w:val="en-US" w:eastAsia="zh-CN"/>
        </w:rPr>
        <w:t>项目</w:t>
      </w:r>
      <w:r>
        <w:rPr>
          <w:rFonts w:hint="eastAsia"/>
        </w:rPr>
        <w:t>经验与市场评价</w:t>
      </w:r>
    </w:p>
    <w:p w14:paraId="6EA1EA00"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</w:t>
      </w:r>
      <w:r>
        <w:rPr>
          <w:rFonts w:hint="eastAsia" w:ascii="宋体" w:hAnsi="宋体" w:cs="宋体"/>
          <w:iCs/>
          <w:sz w:val="21"/>
          <w:szCs w:val="21"/>
          <w:lang w:eastAsia="zh-CN"/>
        </w:rPr>
        <w:t>供应商</w:t>
      </w:r>
      <w:r>
        <w:rPr>
          <w:rFonts w:hint="eastAsia" w:ascii="宋体" w:hAnsi="宋体" w:eastAsia="宋体" w:cs="宋体"/>
          <w:iCs/>
          <w:sz w:val="21"/>
          <w:szCs w:val="21"/>
        </w:rPr>
        <w:t>主要的服务行业、主营业务、服务客户）</w:t>
      </w:r>
    </w:p>
    <w:p w14:paraId="324DE9A9"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（类似的服务项目经验及项目合同证明材料）</w:t>
      </w:r>
    </w:p>
    <w:p w14:paraId="76A68A57">
      <w:pPr>
        <w:pStyle w:val="3"/>
        <w:bidi w:val="0"/>
        <w:rPr>
          <w:rFonts w:hint="eastAsia"/>
        </w:rPr>
      </w:pPr>
      <w:r>
        <w:rPr>
          <w:rFonts w:hint="eastAsia"/>
        </w:rPr>
        <w:t>五、</w:t>
      </w:r>
      <w:r>
        <w:rPr>
          <w:rFonts w:hint="eastAsia"/>
          <w:lang w:eastAsia="zh-CN"/>
        </w:rPr>
        <w:t>供应商</w:t>
      </w:r>
      <w:r>
        <w:rPr>
          <w:rFonts w:hint="eastAsia"/>
        </w:rPr>
        <w:t>的网络和信息安全保障能力</w:t>
      </w:r>
    </w:p>
    <w:p w14:paraId="578F5DAD"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（该项评估内容用于非驻场信息科技外包）</w:t>
      </w:r>
    </w:p>
    <w:p w14:paraId="2C77AC41"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（描述内容可包括网络与信息安全管理体系建设情况、网络与信息安全技术防护体系建设情况、安全事件响应和恢复能力、实践经验等）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56402C4"/>
    <w:rsid w:val="356402C4"/>
    <w:rsid w:val="3C4E6F98"/>
    <w:rsid w:val="3D4F3617"/>
    <w:rsid w:val="6375213F"/>
    <w:rsid w:val="79671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rFonts w:ascii="Times New Roman" w:hAnsi="Times New Roman" w:eastAsia="黑体"/>
      <w:b/>
      <w:kern w:val="44"/>
      <w:sz w:val="32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宋体"/>
      <w:b/>
      <w:sz w:val="28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1"/>
    <w:qFormat/>
    <w:uiPriority w:val="0"/>
    <w:pPr>
      <w:spacing w:after="120" w:line="480" w:lineRule="auto"/>
      <w:ind w:firstLine="0" w:firstLineChars="0"/>
    </w:pPr>
    <w:rPr>
      <w:szCs w:val="24"/>
    </w:rPr>
  </w:style>
  <w:style w:type="paragraph" w:styleId="7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2025-03-18T06:38:00Z</dcterms:created>
  <dc:creator>包诚</dc:creator>
  <cp:lastModifiedBy>曹剑</cp:lastModifiedBy>
  <dcterms:modified xsi:type="dcterms:W3CDTF">2026-05-26T03:19:41Z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7912C708729A430E8B8C43912BA7247F</vt:lpwstr>
  </property>
</Properties>
</file>